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1E4C66" w:rsidRPr="001E4C66" w:rsidTr="001E4C66">
        <w:trPr>
          <w:trHeight w:val="15"/>
          <w:tblCellSpacing w:w="0" w:type="dxa"/>
        </w:trPr>
        <w:tc>
          <w:tcPr>
            <w:tcW w:w="5000" w:type="pct"/>
            <w:shd w:val="clear" w:color="auto" w:fill="FFFFFF"/>
            <w:hideMark/>
          </w:tcPr>
          <w:p w:rsidR="001E4C66" w:rsidRDefault="001E4C66"/>
          <w:tbl>
            <w:tblPr>
              <w:tblW w:w="8851" w:type="dxa"/>
              <w:tblCellSpacing w:w="0" w:type="dxa"/>
              <w:tblCellMar>
                <w:left w:w="0" w:type="dxa"/>
                <w:right w:w="0" w:type="dxa"/>
              </w:tblCellMar>
              <w:tblLook w:val="04A0" w:firstRow="1" w:lastRow="0" w:firstColumn="1" w:lastColumn="0" w:noHBand="0" w:noVBand="1"/>
            </w:tblPr>
            <w:tblGrid>
              <w:gridCol w:w="8647"/>
              <w:gridCol w:w="204"/>
            </w:tblGrid>
            <w:tr w:rsidR="001E4C66" w:rsidRPr="001E4C66" w:rsidTr="001E4C66">
              <w:trPr>
                <w:tblCellSpacing w:w="0" w:type="dxa"/>
              </w:trPr>
              <w:tc>
                <w:tcPr>
                  <w:tcW w:w="4885" w:type="pct"/>
                  <w:tcMar>
                    <w:top w:w="0" w:type="dxa"/>
                    <w:left w:w="150" w:type="dxa"/>
                    <w:bottom w:w="0" w:type="dxa"/>
                    <w:right w:w="0" w:type="dxa"/>
                  </w:tcMar>
                  <w:vAlign w:val="center"/>
                  <w:hideMark/>
                </w:tcPr>
                <w:p w:rsidR="001E4C66" w:rsidRPr="001E4C66" w:rsidRDefault="001E4C66" w:rsidP="001E4C66">
                  <w:pPr>
                    <w:spacing w:after="0" w:line="240" w:lineRule="auto"/>
                    <w:jc w:val="center"/>
                    <w:rPr>
                      <w:rFonts w:eastAsia="Times New Roman" w:cstheme="minorHAnsi"/>
                      <w:b/>
                      <w:sz w:val="27"/>
                      <w:szCs w:val="27"/>
                      <w:lang w:eastAsia="el-GR"/>
                    </w:rPr>
                  </w:pPr>
                  <w:r w:rsidRPr="001E4C66">
                    <w:rPr>
                      <w:rFonts w:eastAsia="Times New Roman" w:cstheme="minorHAnsi"/>
                      <w:b/>
                      <w:sz w:val="27"/>
                      <w:szCs w:val="27"/>
                      <w:lang w:eastAsia="el-GR"/>
                    </w:rPr>
                    <w:t>ΔΕΛΤΙΟ ΤΥΠΟΥ</w:t>
                  </w:r>
                </w:p>
                <w:p w:rsidR="001E4C66" w:rsidRPr="001E4C66" w:rsidRDefault="001E4C66" w:rsidP="001E4C66">
                  <w:pPr>
                    <w:spacing w:after="0" w:line="240" w:lineRule="auto"/>
                    <w:jc w:val="center"/>
                    <w:rPr>
                      <w:rFonts w:eastAsia="Times New Roman" w:cstheme="minorHAnsi"/>
                      <w:b/>
                      <w:color w:val="303030"/>
                      <w:sz w:val="17"/>
                      <w:szCs w:val="17"/>
                      <w:lang w:eastAsia="el-GR"/>
                    </w:rPr>
                  </w:pPr>
                  <w:r w:rsidRPr="001E4C66">
                    <w:rPr>
                      <w:rFonts w:eastAsia="Times New Roman" w:cstheme="minorHAnsi"/>
                      <w:b/>
                      <w:sz w:val="27"/>
                      <w:szCs w:val="27"/>
                      <w:lang w:eastAsia="el-GR"/>
                    </w:rPr>
                    <w:t>Πανελλή</w:t>
                  </w:r>
                  <w:bookmarkStart w:id="0" w:name="_GoBack"/>
                  <w:bookmarkEnd w:id="0"/>
                  <w:r w:rsidRPr="001E4C66">
                    <w:rPr>
                      <w:rFonts w:eastAsia="Times New Roman" w:cstheme="minorHAnsi"/>
                      <w:b/>
                      <w:sz w:val="27"/>
                      <w:szCs w:val="27"/>
                      <w:lang w:eastAsia="el-GR"/>
                    </w:rPr>
                    <w:t>νιας Επιτροπής Διαπραγμάτευσης</w:t>
                  </w:r>
                </w:p>
              </w:tc>
              <w:tc>
                <w:tcPr>
                  <w:tcW w:w="115" w:type="pct"/>
                  <w:tcMar>
                    <w:top w:w="0" w:type="dxa"/>
                    <w:left w:w="0" w:type="dxa"/>
                    <w:bottom w:w="0" w:type="dxa"/>
                    <w:right w:w="150" w:type="dxa"/>
                  </w:tcMar>
                  <w:vAlign w:val="center"/>
                  <w:hideMark/>
                </w:tcPr>
                <w:p w:rsidR="001E4C66" w:rsidRPr="001E4C66" w:rsidRDefault="001E4C66" w:rsidP="001E4C66">
                  <w:pPr>
                    <w:spacing w:after="0" w:line="240" w:lineRule="auto"/>
                    <w:jc w:val="right"/>
                    <w:rPr>
                      <w:rFonts w:eastAsia="Times New Roman" w:cstheme="minorHAnsi"/>
                      <w:color w:val="303030"/>
                      <w:sz w:val="17"/>
                      <w:szCs w:val="17"/>
                      <w:lang w:eastAsia="el-GR"/>
                    </w:rPr>
                  </w:pPr>
                  <w:r w:rsidRPr="001E4C66">
                    <w:rPr>
                      <w:rFonts w:eastAsia="Times New Roman" w:cstheme="minorHAnsi"/>
                      <w:color w:val="303030"/>
                      <w:sz w:val="17"/>
                      <w:szCs w:val="17"/>
                      <w:lang w:eastAsia="el-GR"/>
                    </w:rPr>
                    <w:t> </w:t>
                  </w:r>
                </w:p>
              </w:tc>
            </w:tr>
          </w:tbl>
          <w:p w:rsidR="001E4C66" w:rsidRPr="001E4C66" w:rsidRDefault="001E4C66" w:rsidP="001E4C66">
            <w:pPr>
              <w:spacing w:after="0" w:line="15" w:lineRule="atLeast"/>
              <w:rPr>
                <w:rFonts w:eastAsia="Times New Roman" w:cstheme="minorHAnsi"/>
                <w:color w:val="303030"/>
                <w:sz w:val="17"/>
                <w:szCs w:val="17"/>
                <w:lang w:eastAsia="el-GR"/>
              </w:rPr>
            </w:pPr>
          </w:p>
        </w:tc>
      </w:tr>
      <w:tr w:rsidR="001E4C66" w:rsidRPr="001E4C66" w:rsidTr="001E4C66">
        <w:trPr>
          <w:tblCellSpacing w:w="0" w:type="dxa"/>
        </w:trPr>
        <w:tc>
          <w:tcPr>
            <w:tcW w:w="5000" w:type="pct"/>
            <w:shd w:val="clear" w:color="auto" w:fill="FFFFFF"/>
            <w:hideMark/>
          </w:tcPr>
          <w:p w:rsidR="001E4C66" w:rsidRDefault="001E4C66" w:rsidP="001E4C66">
            <w:pPr>
              <w:spacing w:line="240" w:lineRule="auto"/>
              <w:rPr>
                <w:rFonts w:eastAsia="Times New Roman" w:cstheme="minorHAnsi"/>
                <w:color w:val="303030"/>
                <w:sz w:val="24"/>
                <w:szCs w:val="24"/>
                <w:lang w:eastAsia="el-GR"/>
              </w:rPr>
            </w:pPr>
          </w:p>
          <w:p w:rsidR="001E4C66" w:rsidRPr="001E4C66" w:rsidRDefault="001E4C66" w:rsidP="001E4C66">
            <w:pPr>
              <w:spacing w:line="240" w:lineRule="auto"/>
              <w:rPr>
                <w:rFonts w:eastAsia="Times New Roman" w:cstheme="minorHAnsi"/>
                <w:color w:val="303030"/>
                <w:sz w:val="24"/>
                <w:szCs w:val="24"/>
                <w:lang w:eastAsia="el-GR"/>
              </w:rPr>
            </w:pPr>
            <w:r w:rsidRPr="001E4C66">
              <w:rPr>
                <w:rFonts w:eastAsia="Times New Roman" w:cstheme="minorHAnsi"/>
                <w:color w:val="303030"/>
                <w:sz w:val="24"/>
                <w:szCs w:val="24"/>
                <w:lang w:eastAsia="el-GR"/>
              </w:rPr>
              <w:t xml:space="preserve">Την Τετάρτη 30 Απριλίου, πραγματοποιήθηκε σύσκεψη στο υπουργείο Υγείας στην οποία συμμετείχαν, ο Υπουργός Υγείας κος Άδωνις Γεωργιάδης, ο υφυπουργός Υγείας κος Αντώνης </w:t>
            </w:r>
            <w:proofErr w:type="spellStart"/>
            <w:r w:rsidRPr="001E4C66">
              <w:rPr>
                <w:rFonts w:eastAsia="Times New Roman" w:cstheme="minorHAnsi"/>
                <w:color w:val="303030"/>
                <w:sz w:val="24"/>
                <w:szCs w:val="24"/>
                <w:lang w:eastAsia="el-GR"/>
              </w:rPr>
              <w:t>Μπέζας</w:t>
            </w:r>
            <w:proofErr w:type="spellEnd"/>
            <w:r w:rsidRPr="001E4C66">
              <w:rPr>
                <w:rFonts w:eastAsia="Times New Roman" w:cstheme="minorHAnsi"/>
                <w:color w:val="303030"/>
                <w:sz w:val="24"/>
                <w:szCs w:val="24"/>
                <w:lang w:eastAsia="el-GR"/>
              </w:rPr>
              <w:t xml:space="preserve"> και ο πρόεδρος του ΠΙΣ κος Μιχάλης </w:t>
            </w:r>
            <w:proofErr w:type="spellStart"/>
            <w:r w:rsidRPr="001E4C66">
              <w:rPr>
                <w:rFonts w:eastAsia="Times New Roman" w:cstheme="minorHAnsi"/>
                <w:color w:val="303030"/>
                <w:sz w:val="24"/>
                <w:szCs w:val="24"/>
                <w:lang w:eastAsia="el-GR"/>
              </w:rPr>
              <w:t>Βλασταράκος</w:t>
            </w:r>
            <w:proofErr w:type="spellEnd"/>
            <w:r w:rsidRPr="001E4C66">
              <w:rPr>
                <w:rFonts w:eastAsia="Times New Roman" w:cstheme="minorHAnsi"/>
                <w:color w:val="303030"/>
                <w:sz w:val="24"/>
                <w:szCs w:val="24"/>
                <w:lang w:eastAsia="el-GR"/>
              </w:rPr>
              <w:t xml:space="preserve"> συνοδευόμενος από τα μέλη της Πανελλήνιας Επιτροπής Διαπραγμάτευσης.  </w:t>
            </w:r>
          </w:p>
          <w:p w:rsidR="001E4C66" w:rsidRPr="001E4C66" w:rsidRDefault="001E4C66" w:rsidP="001E4C66">
            <w:pPr>
              <w:spacing w:line="240" w:lineRule="auto"/>
              <w:rPr>
                <w:rFonts w:eastAsia="Times New Roman" w:cstheme="minorHAnsi"/>
                <w:color w:val="303030"/>
                <w:sz w:val="24"/>
                <w:szCs w:val="24"/>
                <w:lang w:eastAsia="el-GR"/>
              </w:rPr>
            </w:pPr>
            <w:r w:rsidRPr="001E4C66">
              <w:rPr>
                <w:rFonts w:eastAsia="Times New Roman" w:cstheme="minorHAnsi"/>
                <w:color w:val="303030"/>
                <w:sz w:val="24"/>
                <w:szCs w:val="24"/>
                <w:lang w:eastAsia="el-GR"/>
              </w:rPr>
              <w:t xml:space="preserve">Κατά τη συνάντηση αυτή επιβεβαιώθηκε η υπαναχώρηση του υπουργού από τις αρχικές του δεσμεύσεις προς τα μέλη της επιτροπής. Ενημερωθήκαμε ότι o κλειστός προϋπολογισμός ανεξάρτητα από τις υφιστάμενες ανάγκες του πληθυσμού δεν θα αλλάξει, έχει υπογραφεί σχετική Υπουργική απόφαση και θα ισχύσει το </w:t>
            </w:r>
            <w:proofErr w:type="spellStart"/>
            <w:r w:rsidRPr="001E4C66">
              <w:rPr>
                <w:rFonts w:eastAsia="Times New Roman" w:cstheme="minorHAnsi"/>
                <w:color w:val="303030"/>
                <w:sz w:val="24"/>
                <w:szCs w:val="24"/>
                <w:lang w:eastAsia="el-GR"/>
              </w:rPr>
              <w:t>clawback</w:t>
            </w:r>
            <w:proofErr w:type="spellEnd"/>
            <w:r w:rsidRPr="001E4C66">
              <w:rPr>
                <w:rFonts w:eastAsia="Times New Roman" w:cstheme="minorHAnsi"/>
                <w:color w:val="303030"/>
                <w:sz w:val="24"/>
                <w:szCs w:val="24"/>
                <w:lang w:eastAsia="el-GR"/>
              </w:rPr>
              <w:t xml:space="preserve"> και για το 2014 που σύμφωνα με τους υπολογισμούς μας και τα στοιχεία που μας έχουν δοθεί, θα ανέλθει στο ύψος του 60% - 70% ανά </w:t>
            </w:r>
            <w:proofErr w:type="spellStart"/>
            <w:r w:rsidRPr="001E4C66">
              <w:rPr>
                <w:rFonts w:eastAsia="Times New Roman" w:cstheme="minorHAnsi"/>
                <w:color w:val="303030"/>
                <w:sz w:val="24"/>
                <w:szCs w:val="24"/>
                <w:lang w:eastAsia="el-GR"/>
              </w:rPr>
              <w:t>πάροχο</w:t>
            </w:r>
            <w:proofErr w:type="spellEnd"/>
            <w:r w:rsidRPr="001E4C66">
              <w:rPr>
                <w:rFonts w:eastAsia="Times New Roman" w:cstheme="minorHAnsi"/>
                <w:color w:val="303030"/>
                <w:sz w:val="24"/>
                <w:szCs w:val="24"/>
                <w:lang w:eastAsia="el-GR"/>
              </w:rPr>
              <w:t xml:space="preserve"> και ανά περιφέρεια της Ελλάδας.  </w:t>
            </w:r>
          </w:p>
          <w:p w:rsidR="001E4C66" w:rsidRPr="001E4C66" w:rsidRDefault="001E4C66" w:rsidP="001E4C66">
            <w:pPr>
              <w:spacing w:line="240" w:lineRule="auto"/>
              <w:rPr>
                <w:rFonts w:eastAsia="Times New Roman" w:cstheme="minorHAnsi"/>
                <w:color w:val="303030"/>
                <w:sz w:val="24"/>
                <w:szCs w:val="24"/>
                <w:lang w:eastAsia="el-GR"/>
              </w:rPr>
            </w:pPr>
            <w:r w:rsidRPr="001E4C66">
              <w:rPr>
                <w:rFonts w:eastAsia="Times New Roman" w:cstheme="minorHAnsi"/>
                <w:color w:val="303030"/>
                <w:sz w:val="24"/>
                <w:szCs w:val="24"/>
                <w:lang w:eastAsia="el-GR"/>
              </w:rPr>
              <w:t xml:space="preserve">Αυτό σημαίνει ότι θα εκτελούνται από τους </w:t>
            </w:r>
            <w:proofErr w:type="spellStart"/>
            <w:r w:rsidRPr="001E4C66">
              <w:rPr>
                <w:rFonts w:eastAsia="Times New Roman" w:cstheme="minorHAnsi"/>
                <w:color w:val="303030"/>
                <w:sz w:val="24"/>
                <w:szCs w:val="24"/>
                <w:lang w:eastAsia="el-GR"/>
              </w:rPr>
              <w:t>παρόχους</w:t>
            </w:r>
            <w:proofErr w:type="spellEnd"/>
            <w:r w:rsidRPr="001E4C66">
              <w:rPr>
                <w:rFonts w:eastAsia="Times New Roman" w:cstheme="minorHAnsi"/>
                <w:color w:val="303030"/>
                <w:sz w:val="24"/>
                <w:szCs w:val="24"/>
                <w:lang w:eastAsia="el-GR"/>
              </w:rPr>
              <w:t xml:space="preserve"> για το 2014 όλα τα παραπεμπτικά ανεξαρτήτως εάν ο ΕΟΠΥΥ έχει τη δυνατότητα να τα πληρώνει για οποιοδήποτε ύψος δαπάνης και αν απαιτηθεί. </w:t>
            </w:r>
          </w:p>
          <w:p w:rsidR="001E4C66" w:rsidRPr="001E4C66" w:rsidRDefault="001E4C66" w:rsidP="001E4C66">
            <w:pPr>
              <w:spacing w:line="240" w:lineRule="auto"/>
              <w:rPr>
                <w:rFonts w:eastAsia="Times New Roman" w:cstheme="minorHAnsi"/>
                <w:color w:val="303030"/>
                <w:sz w:val="24"/>
                <w:szCs w:val="24"/>
                <w:lang w:eastAsia="el-GR"/>
              </w:rPr>
            </w:pPr>
            <w:r w:rsidRPr="001E4C66">
              <w:rPr>
                <w:rFonts w:eastAsia="Times New Roman" w:cstheme="minorHAnsi"/>
                <w:color w:val="303030"/>
                <w:sz w:val="24"/>
                <w:szCs w:val="24"/>
                <w:lang w:eastAsia="el-GR"/>
              </w:rPr>
              <w:t xml:space="preserve">Επίσης, θα πρέπει να επισημάνουμε, ότι φορολογικά δεν έχει γίνει τίποτα παρά τις δεσμεύσεις των συναρμόδιων υπουργών προκειμένου να μην φορολογηθούμε για τα ποσά που δημεύτηκαν αναδρομικά από τους </w:t>
            </w:r>
            <w:proofErr w:type="spellStart"/>
            <w:r w:rsidRPr="001E4C66">
              <w:rPr>
                <w:rFonts w:eastAsia="Times New Roman" w:cstheme="minorHAnsi"/>
                <w:color w:val="303030"/>
                <w:sz w:val="24"/>
                <w:szCs w:val="24"/>
                <w:lang w:eastAsia="el-GR"/>
              </w:rPr>
              <w:t>παρόχους</w:t>
            </w:r>
            <w:proofErr w:type="spellEnd"/>
            <w:r w:rsidRPr="001E4C66">
              <w:rPr>
                <w:rFonts w:eastAsia="Times New Roman" w:cstheme="minorHAnsi"/>
                <w:color w:val="303030"/>
                <w:sz w:val="24"/>
                <w:szCs w:val="24"/>
                <w:lang w:eastAsia="el-GR"/>
              </w:rPr>
              <w:t xml:space="preserve"> το 2013 με το </w:t>
            </w:r>
            <w:proofErr w:type="spellStart"/>
            <w:r w:rsidRPr="001E4C66">
              <w:rPr>
                <w:rFonts w:eastAsia="Times New Roman" w:cstheme="minorHAnsi"/>
                <w:color w:val="303030"/>
                <w:sz w:val="24"/>
                <w:szCs w:val="24"/>
                <w:lang w:eastAsia="el-GR"/>
              </w:rPr>
              <w:t>clawback</w:t>
            </w:r>
            <w:proofErr w:type="spellEnd"/>
            <w:r w:rsidRPr="001E4C66">
              <w:rPr>
                <w:rFonts w:eastAsia="Times New Roman" w:cstheme="minorHAnsi"/>
                <w:color w:val="303030"/>
                <w:sz w:val="24"/>
                <w:szCs w:val="24"/>
                <w:lang w:eastAsia="el-GR"/>
              </w:rPr>
              <w:t xml:space="preserve"> και </w:t>
            </w:r>
            <w:proofErr w:type="spellStart"/>
            <w:r w:rsidRPr="001E4C66">
              <w:rPr>
                <w:rFonts w:eastAsia="Times New Roman" w:cstheme="minorHAnsi"/>
                <w:color w:val="303030"/>
                <w:sz w:val="24"/>
                <w:szCs w:val="24"/>
                <w:lang w:eastAsia="el-GR"/>
              </w:rPr>
              <w:t>rebate</w:t>
            </w:r>
            <w:proofErr w:type="spellEnd"/>
            <w:r w:rsidRPr="001E4C66">
              <w:rPr>
                <w:rFonts w:eastAsia="Times New Roman" w:cstheme="minorHAnsi"/>
                <w:color w:val="303030"/>
                <w:sz w:val="24"/>
                <w:szCs w:val="24"/>
                <w:lang w:eastAsia="el-GR"/>
              </w:rPr>
              <w:t xml:space="preserve"> και αντιστοιχούν περίπου στο 50% του τζίρου μας. </w:t>
            </w:r>
          </w:p>
          <w:p w:rsidR="001E4C66" w:rsidRPr="001E4C66" w:rsidRDefault="001E4C66" w:rsidP="001E4C66">
            <w:pPr>
              <w:spacing w:line="240" w:lineRule="auto"/>
              <w:rPr>
                <w:rFonts w:eastAsia="Times New Roman" w:cstheme="minorHAnsi"/>
                <w:color w:val="303030"/>
                <w:sz w:val="24"/>
                <w:szCs w:val="24"/>
                <w:lang w:eastAsia="el-GR"/>
              </w:rPr>
            </w:pPr>
            <w:r w:rsidRPr="001E4C66">
              <w:rPr>
                <w:rFonts w:eastAsia="Times New Roman" w:cstheme="minorHAnsi"/>
                <w:color w:val="303030"/>
                <w:sz w:val="24"/>
                <w:szCs w:val="24"/>
                <w:lang w:eastAsia="el-GR"/>
              </w:rPr>
              <w:t>Ήδη οι ΟΕ και ΕΕ εταιρίες εξαναγκάστηκαν σε παράτυπη πληρωμή προκαταβολής φόρου στις 30 Απριλίου για χρήματα που τους έχουν περικοπεί !!  </w:t>
            </w:r>
          </w:p>
          <w:p w:rsidR="001E4C66" w:rsidRPr="001E4C66" w:rsidRDefault="001E4C66" w:rsidP="001E4C66">
            <w:pPr>
              <w:spacing w:line="240" w:lineRule="auto"/>
              <w:rPr>
                <w:rFonts w:eastAsia="Times New Roman" w:cstheme="minorHAnsi"/>
                <w:color w:val="303030"/>
                <w:sz w:val="24"/>
                <w:szCs w:val="24"/>
                <w:lang w:eastAsia="el-GR"/>
              </w:rPr>
            </w:pPr>
            <w:r w:rsidRPr="001E4C66">
              <w:rPr>
                <w:rFonts w:eastAsia="Times New Roman" w:cstheme="minorHAnsi"/>
                <w:color w:val="303030"/>
                <w:sz w:val="24"/>
                <w:szCs w:val="24"/>
                <w:lang w:eastAsia="el-GR"/>
              </w:rPr>
              <w:t xml:space="preserve">Βρισκόμαστε μπροστά σε μια πρώτου μεγέθους </w:t>
            </w:r>
            <w:proofErr w:type="spellStart"/>
            <w:r w:rsidRPr="001E4C66">
              <w:rPr>
                <w:rFonts w:eastAsia="Times New Roman" w:cstheme="minorHAnsi"/>
                <w:color w:val="303030"/>
                <w:sz w:val="24"/>
                <w:szCs w:val="24"/>
                <w:lang w:eastAsia="el-GR"/>
              </w:rPr>
              <w:t>απο</w:t>
            </w:r>
            <w:proofErr w:type="spellEnd"/>
            <w:r w:rsidRPr="001E4C66">
              <w:rPr>
                <w:rFonts w:eastAsia="Times New Roman" w:cstheme="minorHAnsi"/>
                <w:color w:val="303030"/>
                <w:sz w:val="24"/>
                <w:szCs w:val="24"/>
                <w:lang w:eastAsia="el-GR"/>
              </w:rPr>
              <w:t>-ασφάλιση του Ελληνικού πληθυσμού και ανθρωπιστική κρίση που ξεκινά από την κατάρρευση της παροχής Πρωτοβάθμιας Φροντίδας Υγείας στον Ελληνικό λαό και την πλήρη διάλυση και απαξίωση των ιδιωτικών δομών παροχής των αναγκαίων υπηρεσιών ιατρικής πρόληψης.  </w:t>
            </w:r>
          </w:p>
          <w:p w:rsidR="001E4C66" w:rsidRPr="001E4C66" w:rsidRDefault="001E4C66" w:rsidP="001E4C66">
            <w:pPr>
              <w:spacing w:line="240" w:lineRule="auto"/>
              <w:rPr>
                <w:rFonts w:eastAsia="Times New Roman" w:cstheme="minorHAnsi"/>
                <w:color w:val="303030"/>
                <w:sz w:val="24"/>
                <w:szCs w:val="24"/>
                <w:lang w:eastAsia="el-GR"/>
              </w:rPr>
            </w:pPr>
            <w:r w:rsidRPr="001E4C66">
              <w:rPr>
                <w:rFonts w:eastAsia="Times New Roman" w:cstheme="minorHAnsi"/>
                <w:color w:val="303030"/>
                <w:sz w:val="24"/>
                <w:szCs w:val="24"/>
                <w:lang w:eastAsia="el-GR"/>
              </w:rPr>
              <w:t xml:space="preserve">Μετά από αυτή την εξέλιξη, η Πανελλήνια Επιτροπή Διαπραγμάτευσης, μέχρι νεωτέρας, διέκοψε κάθε προσχηματική διαπραγμάτευση με το Υπουργείο Υγείας και τον ΕΟΠΥΥ και πρόκειται να καλέσει άμεσα τα μέλη της σε κινητοποιήσεις επιδιώκοντας την μεγαλύτερη δυνατή συσπείρωση μεταξύ των </w:t>
            </w:r>
            <w:proofErr w:type="spellStart"/>
            <w:r w:rsidRPr="001E4C66">
              <w:rPr>
                <w:rFonts w:eastAsia="Times New Roman" w:cstheme="minorHAnsi"/>
                <w:color w:val="303030"/>
                <w:sz w:val="24"/>
                <w:szCs w:val="24"/>
                <w:lang w:eastAsia="el-GR"/>
              </w:rPr>
              <w:t>παρόχων</w:t>
            </w:r>
            <w:proofErr w:type="spellEnd"/>
            <w:r w:rsidRPr="001E4C66">
              <w:rPr>
                <w:rFonts w:eastAsia="Times New Roman" w:cstheme="minorHAnsi"/>
                <w:color w:val="303030"/>
                <w:sz w:val="24"/>
                <w:szCs w:val="24"/>
                <w:lang w:eastAsia="el-GR"/>
              </w:rPr>
              <w:t xml:space="preserve">, αναμένοντας και τις αποφάσεις του Διοικητικού Συμβουλίου και της Γενικής Συνέλευσης του ΠΙΣ, που θα διενεργηθούν στις 02 και στις 03 </w:t>
            </w:r>
            <w:proofErr w:type="spellStart"/>
            <w:r w:rsidRPr="001E4C66">
              <w:rPr>
                <w:rFonts w:eastAsia="Times New Roman" w:cstheme="minorHAnsi"/>
                <w:color w:val="303030"/>
                <w:sz w:val="24"/>
                <w:szCs w:val="24"/>
                <w:lang w:eastAsia="el-GR"/>
              </w:rPr>
              <w:t>Μαίου</w:t>
            </w:r>
            <w:proofErr w:type="spellEnd"/>
            <w:r w:rsidRPr="001E4C66">
              <w:rPr>
                <w:rFonts w:eastAsia="Times New Roman" w:cstheme="minorHAnsi"/>
                <w:color w:val="303030"/>
                <w:sz w:val="24"/>
                <w:szCs w:val="24"/>
                <w:lang w:eastAsia="el-GR"/>
              </w:rPr>
              <w:t xml:space="preserve"> του 2014 αντίστοιχα.</w:t>
            </w:r>
          </w:p>
        </w:tc>
      </w:tr>
      <w:tr w:rsidR="001E4C66" w:rsidRPr="001E4C66" w:rsidTr="001E4C66">
        <w:trPr>
          <w:tblCellSpacing w:w="0" w:type="dxa"/>
        </w:trPr>
        <w:tc>
          <w:tcPr>
            <w:tcW w:w="5000" w:type="pct"/>
            <w:shd w:val="clear" w:color="auto" w:fill="FFFFFF"/>
          </w:tcPr>
          <w:p w:rsidR="001E4C66" w:rsidRPr="001E4C66" w:rsidRDefault="001E4C66" w:rsidP="001E4C66">
            <w:pPr>
              <w:spacing w:line="240" w:lineRule="auto"/>
              <w:rPr>
                <w:rFonts w:ascii="Arial" w:eastAsia="Times New Roman" w:hAnsi="Arial" w:cs="Arial"/>
                <w:color w:val="303030"/>
                <w:sz w:val="24"/>
                <w:szCs w:val="24"/>
                <w:lang w:eastAsia="el-GR"/>
              </w:rPr>
            </w:pPr>
          </w:p>
        </w:tc>
      </w:tr>
    </w:tbl>
    <w:p w:rsidR="00EC6746" w:rsidRPr="001E4C66" w:rsidRDefault="00EC6746">
      <w:pPr>
        <w:rPr>
          <w:sz w:val="24"/>
          <w:szCs w:val="24"/>
        </w:rPr>
      </w:pPr>
    </w:p>
    <w:sectPr w:rsidR="00EC6746" w:rsidRPr="001E4C6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C66"/>
    <w:rsid w:val="001E4C66"/>
    <w:rsid w:val="00EC67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C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C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14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1852</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extdept_B</dc:creator>
  <cp:lastModifiedBy>extdept_B</cp:lastModifiedBy>
  <cp:revision>1</cp:revision>
  <dcterms:created xsi:type="dcterms:W3CDTF">2014-05-02T06:23:00Z</dcterms:created>
  <dcterms:modified xsi:type="dcterms:W3CDTF">2014-05-02T06:25:00Z</dcterms:modified>
</cp:coreProperties>
</file>